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A095D" w14:textId="77777777" w:rsidR="007A1412" w:rsidRDefault="00000000">
      <w:pPr>
        <w:widowControl/>
        <w:adjustRightInd w:val="0"/>
        <w:snapToGrid w:val="0"/>
        <w:spacing w:line="360" w:lineRule="auto"/>
        <w:ind w:right="20"/>
        <w:jc w:val="center"/>
        <w:rPr>
          <w:rFonts w:ascii="黑体" w:eastAsia="黑体" w:hAnsi="黑体" w:cs="新宋体"/>
          <w:b/>
          <w:bCs/>
          <w:color w:val="FF0000"/>
          <w:kern w:val="0"/>
          <w:sz w:val="44"/>
          <w:szCs w:val="44"/>
        </w:rPr>
      </w:pPr>
      <w:r>
        <w:rPr>
          <w:rFonts w:ascii="黑体" w:eastAsia="黑体" w:hAnsi="黑体" w:cs="新宋体" w:hint="eastAsia"/>
          <w:b/>
          <w:bCs/>
          <w:color w:val="FF0000"/>
          <w:kern w:val="0"/>
          <w:sz w:val="44"/>
          <w:szCs w:val="44"/>
        </w:rPr>
        <w:t>江苏恒瑞医药股份有限公司</w:t>
      </w:r>
    </w:p>
    <w:p w14:paraId="09102ADE" w14:textId="77777777" w:rsidR="007A1412" w:rsidRDefault="00000000">
      <w:pPr>
        <w:widowControl/>
        <w:adjustRightInd w:val="0"/>
        <w:snapToGrid w:val="0"/>
        <w:spacing w:line="360" w:lineRule="auto"/>
        <w:ind w:right="20"/>
        <w:jc w:val="center"/>
        <w:rPr>
          <w:rFonts w:ascii="黑体" w:eastAsia="黑体" w:hAnsi="黑体" w:cs="新宋体"/>
          <w:b/>
          <w:bCs/>
          <w:color w:val="FF0000"/>
          <w:kern w:val="0"/>
          <w:sz w:val="44"/>
          <w:szCs w:val="44"/>
        </w:rPr>
      </w:pPr>
      <w:r>
        <w:rPr>
          <w:rFonts w:ascii="黑体" w:eastAsia="黑体" w:hAnsi="黑体" w:cs="新宋体" w:hint="eastAsia"/>
          <w:b/>
          <w:bCs/>
          <w:color w:val="FF0000"/>
          <w:kern w:val="0"/>
          <w:sz w:val="44"/>
          <w:szCs w:val="44"/>
        </w:rPr>
        <w:t>战略委员会实施细则</w:t>
      </w:r>
    </w:p>
    <w:p w14:paraId="76888DC0" w14:textId="77777777" w:rsidR="007A1412" w:rsidRDefault="00000000">
      <w:pPr>
        <w:adjustRightInd w:val="0"/>
        <w:spacing w:line="360" w:lineRule="auto"/>
        <w:jc w:val="center"/>
        <w:rPr>
          <w:rFonts w:ascii="黑体" w:eastAsia="黑体" w:hAnsi="黑体" w:cs="新宋体"/>
          <w:b/>
          <w:bCs/>
          <w:kern w:val="0"/>
          <w:sz w:val="32"/>
          <w:szCs w:val="32"/>
        </w:rPr>
      </w:pPr>
      <w:r>
        <w:rPr>
          <w:rFonts w:ascii="黑体" w:eastAsia="黑体" w:hAnsi="黑体" w:cs="新宋体" w:hint="eastAsia"/>
          <w:b/>
          <w:bCs/>
          <w:kern w:val="0"/>
          <w:sz w:val="32"/>
          <w:szCs w:val="32"/>
        </w:rPr>
        <w:t xml:space="preserve">第一章 总则 </w:t>
      </w:r>
    </w:p>
    <w:p w14:paraId="137A429D" w14:textId="77777777" w:rsidR="007A1412" w:rsidRDefault="00000000">
      <w:pPr>
        <w:spacing w:line="360" w:lineRule="auto"/>
        <w:rPr>
          <w:rFonts w:ascii="宋体" w:eastAsia="宋体" w:hAnsi="宋体"/>
          <w:bCs/>
          <w:sz w:val="24"/>
        </w:rPr>
      </w:pPr>
      <w:r>
        <w:rPr>
          <w:rFonts w:ascii="宋体" w:eastAsia="宋体" w:hAnsi="宋体" w:hint="eastAsia"/>
          <w:b/>
          <w:sz w:val="24"/>
        </w:rPr>
        <w:t>第一条</w:t>
      </w:r>
      <w:r>
        <w:rPr>
          <w:rFonts w:ascii="宋体" w:eastAsia="宋体" w:hAnsi="宋体" w:hint="eastAsia"/>
          <w:bCs/>
          <w:sz w:val="24"/>
        </w:rPr>
        <w:t xml:space="preserve"> 为适应公司战略发展需要，增强公司核心竞争力，确定公司发展规划，健全投资决策程序，加强决策科学性，提高重大投资决策的效益和决策的质量，完善公司治理结构，提升公司环境、社会及管治（ESG）能力及可持续发展绩效，根据《中华人民共和国公司法》《上市公司治理准则》《公司章程》《董事会议事规则》及其他有关规定，公司特设立董事会战略委员会，并制定本实施细则。 </w:t>
      </w:r>
    </w:p>
    <w:p w14:paraId="5BA8E37B" w14:textId="77777777" w:rsidR="007A1412" w:rsidRDefault="00000000">
      <w:pPr>
        <w:spacing w:line="360" w:lineRule="auto"/>
        <w:rPr>
          <w:rFonts w:ascii="宋体" w:eastAsia="宋体" w:hAnsi="宋体"/>
          <w:bCs/>
          <w:sz w:val="24"/>
        </w:rPr>
      </w:pPr>
      <w:r>
        <w:rPr>
          <w:rFonts w:ascii="宋体" w:eastAsia="宋体" w:hAnsi="宋体" w:hint="eastAsia"/>
          <w:b/>
          <w:sz w:val="24"/>
        </w:rPr>
        <w:t>第二条</w:t>
      </w:r>
      <w:r>
        <w:rPr>
          <w:rFonts w:ascii="宋体" w:eastAsia="宋体" w:hAnsi="宋体" w:hint="eastAsia"/>
          <w:bCs/>
          <w:sz w:val="24"/>
        </w:rPr>
        <w:t xml:space="preserve"> 董事会战略委员会是董事会按照股东大会决议设立的专门工作机构，主要负责对公司长期发展战略和重大投资决策进行研究并提出建议，制订公司发展战略计划，监督、检查年度经营计划、投资方案的执行情况，提议、评估公司ESG战略、 愿景与目标并监察ESG政策实施情况。 </w:t>
      </w:r>
    </w:p>
    <w:p w14:paraId="1A7E29D4" w14:textId="77777777" w:rsidR="007A1412" w:rsidRDefault="00000000">
      <w:pPr>
        <w:adjustRightInd w:val="0"/>
        <w:spacing w:line="360" w:lineRule="auto"/>
        <w:jc w:val="center"/>
        <w:rPr>
          <w:rFonts w:ascii="黑体" w:eastAsia="黑体" w:hAnsi="黑体" w:cs="新宋体"/>
          <w:b/>
          <w:bCs/>
          <w:kern w:val="0"/>
          <w:sz w:val="32"/>
          <w:szCs w:val="32"/>
        </w:rPr>
      </w:pPr>
      <w:r>
        <w:rPr>
          <w:rFonts w:ascii="黑体" w:eastAsia="黑体" w:hAnsi="黑体" w:cs="新宋体" w:hint="eastAsia"/>
          <w:b/>
          <w:bCs/>
          <w:kern w:val="0"/>
          <w:sz w:val="32"/>
          <w:szCs w:val="32"/>
        </w:rPr>
        <w:t xml:space="preserve">第二章 人员组成 </w:t>
      </w:r>
    </w:p>
    <w:p w14:paraId="534B8943" w14:textId="77777777" w:rsidR="007A1412" w:rsidRDefault="00000000">
      <w:pPr>
        <w:spacing w:line="360" w:lineRule="auto"/>
        <w:rPr>
          <w:rFonts w:ascii="宋体" w:eastAsia="宋体" w:hAnsi="宋体"/>
          <w:bCs/>
          <w:sz w:val="24"/>
        </w:rPr>
      </w:pPr>
      <w:r>
        <w:rPr>
          <w:rFonts w:ascii="宋体" w:eastAsia="宋体" w:hAnsi="宋体" w:hint="eastAsia"/>
          <w:b/>
          <w:sz w:val="24"/>
        </w:rPr>
        <w:t>第三条</w:t>
      </w:r>
      <w:r>
        <w:rPr>
          <w:rFonts w:ascii="宋体" w:eastAsia="宋体" w:hAnsi="宋体" w:hint="eastAsia"/>
          <w:bCs/>
          <w:sz w:val="24"/>
        </w:rPr>
        <w:t xml:space="preserve"> 战略委员会成员由三至七名董事组成，其中应至少包括一名独立董事。</w:t>
      </w:r>
      <w:r>
        <w:rPr>
          <w:rFonts w:ascii="宋体" w:eastAsia="宋体" w:hAnsi="宋体" w:hint="eastAsia"/>
          <w:bCs/>
          <w:sz w:val="24"/>
        </w:rPr>
        <w:br/>
      </w:r>
      <w:r>
        <w:rPr>
          <w:rFonts w:ascii="宋体" w:eastAsia="宋体" w:hAnsi="宋体" w:hint="eastAsia"/>
          <w:b/>
          <w:sz w:val="24"/>
        </w:rPr>
        <w:t>第四条</w:t>
      </w:r>
      <w:r>
        <w:rPr>
          <w:rFonts w:ascii="宋体" w:eastAsia="宋体" w:hAnsi="宋体" w:hint="eastAsia"/>
          <w:bCs/>
          <w:sz w:val="24"/>
        </w:rPr>
        <w:t xml:space="preserve"> 战略委员会委员由董事长、二分之一以上独立董事或者全体董事的三分之一提名，并由董事会选举产生。</w:t>
      </w:r>
    </w:p>
    <w:p w14:paraId="1E9390F8" w14:textId="77777777" w:rsidR="007A1412" w:rsidRDefault="00000000">
      <w:pPr>
        <w:spacing w:line="360" w:lineRule="auto"/>
        <w:rPr>
          <w:rFonts w:ascii="宋体" w:eastAsia="宋体" w:hAnsi="宋体"/>
          <w:bCs/>
          <w:sz w:val="24"/>
        </w:rPr>
      </w:pPr>
      <w:r>
        <w:rPr>
          <w:rFonts w:ascii="宋体" w:eastAsia="宋体" w:hAnsi="宋体" w:hint="eastAsia"/>
          <w:b/>
          <w:sz w:val="24"/>
        </w:rPr>
        <w:t>第五条</w:t>
      </w:r>
      <w:r>
        <w:rPr>
          <w:rFonts w:ascii="宋体" w:eastAsia="宋体" w:hAnsi="宋体" w:hint="eastAsia"/>
          <w:bCs/>
          <w:sz w:val="24"/>
        </w:rPr>
        <w:t xml:space="preserve"> 战略委员会设主任委员（召集人）一名，由公司董事担任，负责召集战略委员会会议并主持委员会工作。</w:t>
      </w:r>
      <w:r>
        <w:rPr>
          <w:rFonts w:ascii="宋体" w:eastAsia="宋体" w:hAnsi="宋体" w:hint="eastAsia"/>
          <w:bCs/>
          <w:sz w:val="24"/>
        </w:rPr>
        <w:br/>
      </w:r>
      <w:r>
        <w:rPr>
          <w:rFonts w:ascii="宋体" w:eastAsia="宋体" w:hAnsi="宋体" w:hint="eastAsia"/>
          <w:b/>
          <w:sz w:val="24"/>
        </w:rPr>
        <w:t>第六条</w:t>
      </w:r>
      <w:r>
        <w:rPr>
          <w:rFonts w:ascii="宋体" w:eastAsia="宋体" w:hAnsi="宋体" w:hint="eastAsia"/>
          <w:bCs/>
          <w:sz w:val="24"/>
        </w:rPr>
        <w:t xml:space="preserve"> 战略委员会任期与董事会任期一致，委员任期届满，连选可以连任。期间如有委员不再担任公司董事职务，自动失去委员资格，并由委员会根据上述第三至第五条规定补足委员人数。</w:t>
      </w:r>
    </w:p>
    <w:p w14:paraId="4BE6FB0F" w14:textId="2CA974CF" w:rsidR="007A1412" w:rsidRDefault="00000000">
      <w:pPr>
        <w:spacing w:line="360" w:lineRule="auto"/>
        <w:rPr>
          <w:rFonts w:ascii="宋体" w:eastAsia="宋体" w:hAnsi="宋体"/>
          <w:bCs/>
          <w:sz w:val="24"/>
        </w:rPr>
      </w:pPr>
      <w:r>
        <w:rPr>
          <w:rFonts w:ascii="宋体" w:eastAsia="宋体" w:hAnsi="宋体" w:hint="eastAsia"/>
          <w:b/>
          <w:sz w:val="24"/>
        </w:rPr>
        <w:t>第七条</w:t>
      </w:r>
      <w:r>
        <w:rPr>
          <w:rFonts w:ascii="宋体" w:eastAsia="宋体" w:hAnsi="宋体" w:hint="eastAsia"/>
          <w:bCs/>
          <w:sz w:val="24"/>
        </w:rPr>
        <w:t xml:space="preserve"> 战略委员会下设投资评审小组，由公司总经理</w:t>
      </w:r>
      <w:r w:rsidR="00881316">
        <w:rPr>
          <w:rFonts w:ascii="宋体" w:eastAsia="宋体" w:hAnsi="宋体" w:hint="eastAsia"/>
          <w:bCs/>
          <w:sz w:val="24"/>
        </w:rPr>
        <w:t>（总裁）</w:t>
      </w:r>
      <w:r>
        <w:rPr>
          <w:rFonts w:ascii="宋体" w:eastAsia="宋体" w:hAnsi="宋体" w:hint="eastAsia"/>
          <w:bCs/>
          <w:sz w:val="24"/>
        </w:rPr>
        <w:t xml:space="preserve">任投资评审小组组长。 </w:t>
      </w:r>
    </w:p>
    <w:p w14:paraId="33945F69" w14:textId="77777777" w:rsidR="007A1412" w:rsidRDefault="00000000">
      <w:pPr>
        <w:adjustRightInd w:val="0"/>
        <w:spacing w:line="360" w:lineRule="auto"/>
        <w:jc w:val="center"/>
        <w:rPr>
          <w:rFonts w:ascii="黑体" w:eastAsia="黑体" w:hAnsi="黑体" w:cs="新宋体"/>
          <w:b/>
          <w:bCs/>
          <w:kern w:val="0"/>
          <w:sz w:val="32"/>
          <w:szCs w:val="32"/>
        </w:rPr>
      </w:pPr>
      <w:r>
        <w:rPr>
          <w:rFonts w:ascii="黑体" w:eastAsia="黑体" w:hAnsi="黑体" w:cs="新宋体" w:hint="eastAsia"/>
          <w:b/>
          <w:bCs/>
          <w:kern w:val="0"/>
          <w:sz w:val="32"/>
          <w:szCs w:val="32"/>
        </w:rPr>
        <w:t xml:space="preserve">第三章 职责权限 </w:t>
      </w:r>
    </w:p>
    <w:p w14:paraId="523825DE" w14:textId="77777777" w:rsidR="007A1412" w:rsidRDefault="00000000">
      <w:pPr>
        <w:spacing w:line="360" w:lineRule="auto"/>
        <w:rPr>
          <w:rFonts w:ascii="宋体" w:eastAsia="宋体" w:hAnsi="宋体"/>
          <w:bCs/>
          <w:sz w:val="24"/>
        </w:rPr>
      </w:pPr>
      <w:r>
        <w:rPr>
          <w:rFonts w:ascii="宋体" w:eastAsia="宋体" w:hAnsi="宋体" w:hint="eastAsia"/>
          <w:b/>
          <w:sz w:val="24"/>
        </w:rPr>
        <w:t>第八条</w:t>
      </w:r>
      <w:r>
        <w:rPr>
          <w:rFonts w:ascii="宋体" w:eastAsia="宋体" w:hAnsi="宋体" w:hint="eastAsia"/>
          <w:bCs/>
          <w:sz w:val="24"/>
        </w:rPr>
        <w:t xml:space="preserve"> 战略委员会的主要职责权限：</w:t>
      </w:r>
    </w:p>
    <w:p w14:paraId="68D702AD" w14:textId="77777777" w:rsidR="007A1412" w:rsidRDefault="00000000">
      <w:pPr>
        <w:spacing w:line="360" w:lineRule="auto"/>
        <w:rPr>
          <w:rFonts w:ascii="宋体" w:eastAsia="宋体" w:hAnsi="宋体"/>
          <w:bCs/>
          <w:sz w:val="24"/>
        </w:rPr>
      </w:pPr>
      <w:r>
        <w:rPr>
          <w:rFonts w:ascii="宋体" w:eastAsia="宋体" w:hAnsi="宋体" w:hint="eastAsia"/>
          <w:bCs/>
          <w:sz w:val="24"/>
        </w:rPr>
        <w:lastRenderedPageBreak/>
        <w:t>（一）对公司长期发展战略规划进行研究并提出建议；</w:t>
      </w:r>
    </w:p>
    <w:p w14:paraId="0229733A" w14:textId="77777777" w:rsidR="007A1412" w:rsidRDefault="00000000">
      <w:pPr>
        <w:spacing w:line="360" w:lineRule="auto"/>
        <w:rPr>
          <w:rFonts w:ascii="宋体" w:eastAsia="宋体" w:hAnsi="宋体"/>
          <w:bCs/>
          <w:sz w:val="24"/>
        </w:rPr>
      </w:pPr>
      <w:r>
        <w:rPr>
          <w:rFonts w:ascii="宋体" w:eastAsia="宋体" w:hAnsi="宋体" w:hint="eastAsia"/>
          <w:bCs/>
          <w:sz w:val="24"/>
        </w:rPr>
        <w:t>（二）对《公司章程》规定须经董事会批准的重大投资融资方案进行研究并提出建议；</w:t>
      </w:r>
    </w:p>
    <w:p w14:paraId="2F6062BC" w14:textId="77777777" w:rsidR="007A1412" w:rsidRDefault="00000000">
      <w:pPr>
        <w:spacing w:line="360" w:lineRule="auto"/>
        <w:rPr>
          <w:rFonts w:ascii="宋体" w:eastAsia="宋体" w:hAnsi="宋体"/>
          <w:bCs/>
          <w:sz w:val="24"/>
        </w:rPr>
      </w:pPr>
      <w:r>
        <w:rPr>
          <w:rFonts w:ascii="宋体" w:eastAsia="宋体" w:hAnsi="宋体" w:hint="eastAsia"/>
          <w:bCs/>
          <w:sz w:val="24"/>
        </w:rPr>
        <w:t>（三）对《公司章程》规定须经董事会批准的重大资本运作、资产经营项目进行研究并提出建议；</w:t>
      </w:r>
    </w:p>
    <w:p w14:paraId="7BC49A84" w14:textId="77777777" w:rsidR="007A1412" w:rsidRDefault="00000000">
      <w:pPr>
        <w:spacing w:line="360" w:lineRule="auto"/>
        <w:rPr>
          <w:rFonts w:ascii="宋体" w:eastAsia="宋体" w:hAnsi="宋体"/>
          <w:bCs/>
          <w:sz w:val="24"/>
        </w:rPr>
      </w:pPr>
      <w:r>
        <w:rPr>
          <w:rFonts w:ascii="宋体" w:eastAsia="宋体" w:hAnsi="宋体" w:hint="eastAsia"/>
          <w:bCs/>
          <w:sz w:val="24"/>
        </w:rPr>
        <w:t>（四）对公司ESG战略、愿景与目标进行研究并提出建议；</w:t>
      </w:r>
    </w:p>
    <w:p w14:paraId="790F16FD" w14:textId="77777777" w:rsidR="007A1412" w:rsidRDefault="00000000">
      <w:pPr>
        <w:spacing w:line="360" w:lineRule="auto"/>
        <w:rPr>
          <w:rFonts w:ascii="宋体" w:eastAsia="宋体" w:hAnsi="宋体"/>
          <w:bCs/>
          <w:sz w:val="24"/>
        </w:rPr>
      </w:pPr>
      <w:r>
        <w:rPr>
          <w:rFonts w:ascii="宋体" w:eastAsia="宋体" w:hAnsi="宋体" w:hint="eastAsia"/>
          <w:bCs/>
          <w:sz w:val="24"/>
        </w:rPr>
        <w:t>（五）对公司ESG相关事项的政策制定、执行管理、信息披露等进行监督检查，并向董事会汇报，包括但不限于:</w:t>
      </w:r>
    </w:p>
    <w:p w14:paraId="5207F3DF" w14:textId="77777777" w:rsidR="007A1412" w:rsidRDefault="00000000">
      <w:pPr>
        <w:spacing w:line="360" w:lineRule="auto"/>
        <w:ind w:firstLine="420"/>
        <w:rPr>
          <w:rFonts w:ascii="宋体" w:eastAsia="宋体" w:hAnsi="宋体"/>
          <w:bCs/>
          <w:sz w:val="24"/>
        </w:rPr>
      </w:pPr>
      <w:r>
        <w:rPr>
          <w:rFonts w:ascii="宋体" w:eastAsia="宋体" w:hAnsi="宋体" w:hint="eastAsia"/>
          <w:bCs/>
          <w:sz w:val="24"/>
        </w:rPr>
        <w:t>a</w:t>
      </w:r>
      <w:r>
        <w:rPr>
          <w:rFonts w:ascii="宋体" w:eastAsia="宋体" w:hAnsi="宋体"/>
          <w:bCs/>
          <w:sz w:val="24"/>
        </w:rPr>
        <w:t xml:space="preserve">) </w:t>
      </w:r>
      <w:r>
        <w:rPr>
          <w:rFonts w:ascii="宋体" w:eastAsia="宋体" w:hAnsi="宋体" w:hint="eastAsia"/>
          <w:bCs/>
          <w:sz w:val="24"/>
        </w:rPr>
        <w:t>负责商业道德问题的监管，全面监督反贪腐与反贿赂政策的执行，监督全员商业道德意识提升培训的落实；</w:t>
      </w:r>
    </w:p>
    <w:p w14:paraId="249C90C9" w14:textId="77777777" w:rsidR="007A1412" w:rsidRDefault="00000000">
      <w:pPr>
        <w:spacing w:line="360" w:lineRule="auto"/>
        <w:ind w:firstLine="420"/>
        <w:rPr>
          <w:rFonts w:ascii="宋体" w:eastAsia="宋体" w:hAnsi="宋体"/>
          <w:bCs/>
          <w:sz w:val="24"/>
        </w:rPr>
      </w:pPr>
      <w:r>
        <w:rPr>
          <w:rFonts w:ascii="宋体" w:eastAsia="宋体" w:hAnsi="宋体" w:hint="eastAsia"/>
          <w:bCs/>
          <w:sz w:val="24"/>
        </w:rPr>
        <w:t>b) 负责环境议题管理的全面监督，建议和评估公司环境战略规划、环境管理目标并监察环境相关政策实施情况；</w:t>
      </w:r>
    </w:p>
    <w:p w14:paraId="6CCF11C4" w14:textId="77777777" w:rsidR="007A1412" w:rsidRDefault="00000000">
      <w:pPr>
        <w:spacing w:line="360" w:lineRule="auto"/>
        <w:ind w:firstLine="420"/>
        <w:rPr>
          <w:rFonts w:ascii="宋体" w:eastAsia="宋体" w:hAnsi="宋体"/>
          <w:bCs/>
          <w:sz w:val="24"/>
        </w:rPr>
      </w:pPr>
      <w:r>
        <w:rPr>
          <w:rFonts w:ascii="宋体" w:eastAsia="宋体" w:hAnsi="宋体" w:hint="eastAsia"/>
          <w:bCs/>
          <w:sz w:val="24"/>
        </w:rPr>
        <w:t>c) 负责对普惠医疗工作的执行进行全面监督，督促各部门有序推进普惠医疗相关工作，定期对普惠医疗监督职责履行情况及目标达成情况进行检讨，确保普惠医疗管理的有效性；</w:t>
      </w:r>
    </w:p>
    <w:p w14:paraId="7FAA078F" w14:textId="77777777" w:rsidR="007A1412" w:rsidRDefault="00000000">
      <w:pPr>
        <w:spacing w:line="360" w:lineRule="auto"/>
        <w:ind w:firstLine="420"/>
        <w:rPr>
          <w:rFonts w:ascii="宋体" w:eastAsia="宋体" w:hAnsi="宋体"/>
          <w:bCs/>
          <w:sz w:val="24"/>
        </w:rPr>
      </w:pPr>
      <w:r>
        <w:rPr>
          <w:rFonts w:ascii="宋体" w:eastAsia="宋体" w:hAnsi="宋体" w:hint="eastAsia"/>
          <w:bCs/>
          <w:sz w:val="24"/>
        </w:rPr>
        <w:t xml:space="preserve">d) 负责员工多元化议题的管理监督，审核员工多元化政策与多元化目标的制定，并对政策执行情况、目标达成进度等进行监督; </w:t>
      </w:r>
    </w:p>
    <w:p w14:paraId="20088D59" w14:textId="77777777" w:rsidR="007A1412" w:rsidRDefault="00000000">
      <w:pPr>
        <w:spacing w:line="360" w:lineRule="auto"/>
        <w:rPr>
          <w:rFonts w:ascii="宋体" w:eastAsia="宋体" w:hAnsi="宋体"/>
          <w:bCs/>
          <w:sz w:val="24"/>
        </w:rPr>
      </w:pPr>
      <w:r>
        <w:rPr>
          <w:rFonts w:ascii="宋体" w:eastAsia="宋体" w:hAnsi="宋体" w:hint="eastAsia"/>
          <w:bCs/>
          <w:sz w:val="24"/>
        </w:rPr>
        <w:t xml:space="preserve">（六）对其他影响公司发展的重大事项进行研究并提出建议; </w:t>
      </w:r>
    </w:p>
    <w:p w14:paraId="68B7356B" w14:textId="77777777" w:rsidR="007A1412" w:rsidRDefault="00000000">
      <w:pPr>
        <w:spacing w:line="360" w:lineRule="auto"/>
        <w:rPr>
          <w:rFonts w:ascii="宋体" w:eastAsia="宋体" w:hAnsi="宋体"/>
          <w:bCs/>
          <w:sz w:val="24"/>
        </w:rPr>
      </w:pPr>
      <w:r>
        <w:rPr>
          <w:rFonts w:ascii="宋体" w:eastAsia="宋体" w:hAnsi="宋体" w:hint="eastAsia"/>
          <w:bCs/>
          <w:sz w:val="24"/>
        </w:rPr>
        <w:t>（七）对以上事项的实施进行检查;</w:t>
      </w:r>
    </w:p>
    <w:p w14:paraId="7FAF2006" w14:textId="77777777" w:rsidR="007A1412" w:rsidRDefault="00000000">
      <w:pPr>
        <w:spacing w:line="360" w:lineRule="auto"/>
        <w:rPr>
          <w:rFonts w:ascii="宋体" w:eastAsia="宋体" w:hAnsi="宋体"/>
          <w:bCs/>
          <w:sz w:val="24"/>
        </w:rPr>
      </w:pPr>
      <w:r>
        <w:rPr>
          <w:rFonts w:ascii="宋体" w:eastAsia="宋体" w:hAnsi="宋体" w:hint="eastAsia"/>
          <w:bCs/>
          <w:sz w:val="24"/>
        </w:rPr>
        <w:t xml:space="preserve">（八）董事会授权的其他事宜。 </w:t>
      </w:r>
    </w:p>
    <w:p w14:paraId="60A366F9" w14:textId="77777777" w:rsidR="007A1412" w:rsidRDefault="00000000">
      <w:pPr>
        <w:spacing w:line="360" w:lineRule="auto"/>
        <w:rPr>
          <w:rFonts w:ascii="宋体" w:eastAsia="宋体" w:hAnsi="宋体"/>
          <w:bCs/>
          <w:sz w:val="24"/>
        </w:rPr>
      </w:pPr>
      <w:r>
        <w:rPr>
          <w:rFonts w:ascii="宋体" w:eastAsia="宋体" w:hAnsi="宋体" w:hint="eastAsia"/>
          <w:b/>
          <w:sz w:val="24"/>
        </w:rPr>
        <w:t>第九条</w:t>
      </w:r>
      <w:r>
        <w:rPr>
          <w:rFonts w:ascii="宋体" w:eastAsia="宋体" w:hAnsi="宋体" w:hint="eastAsia"/>
          <w:bCs/>
          <w:sz w:val="24"/>
        </w:rPr>
        <w:t xml:space="preserve"> 战略委员会对董事会负责，委员会的提案提交董事会审议决定。 </w:t>
      </w:r>
    </w:p>
    <w:p w14:paraId="0CD89C00" w14:textId="77777777" w:rsidR="007A1412" w:rsidRDefault="00000000">
      <w:pPr>
        <w:adjustRightInd w:val="0"/>
        <w:spacing w:line="360" w:lineRule="auto"/>
        <w:jc w:val="center"/>
        <w:rPr>
          <w:rFonts w:ascii="黑体" w:eastAsia="黑体" w:hAnsi="黑体" w:cs="新宋体"/>
          <w:b/>
          <w:bCs/>
          <w:kern w:val="0"/>
          <w:sz w:val="32"/>
          <w:szCs w:val="32"/>
        </w:rPr>
      </w:pPr>
      <w:r>
        <w:rPr>
          <w:rFonts w:ascii="黑体" w:eastAsia="黑体" w:hAnsi="黑体" w:cs="新宋体" w:hint="eastAsia"/>
          <w:b/>
          <w:bCs/>
          <w:kern w:val="0"/>
          <w:sz w:val="32"/>
          <w:szCs w:val="32"/>
        </w:rPr>
        <w:t xml:space="preserve">第四章 决策程序 </w:t>
      </w:r>
    </w:p>
    <w:p w14:paraId="5E5D2EBE" w14:textId="77777777" w:rsidR="007A1412" w:rsidRDefault="00000000">
      <w:pPr>
        <w:spacing w:line="360" w:lineRule="auto"/>
        <w:rPr>
          <w:rFonts w:ascii="宋体" w:eastAsia="宋体" w:hAnsi="宋体"/>
          <w:bCs/>
          <w:sz w:val="24"/>
        </w:rPr>
      </w:pPr>
      <w:r>
        <w:rPr>
          <w:rFonts w:ascii="宋体" w:eastAsia="宋体" w:hAnsi="宋体" w:hint="eastAsia"/>
          <w:b/>
          <w:sz w:val="24"/>
        </w:rPr>
        <w:t>第十条</w:t>
      </w:r>
      <w:r>
        <w:rPr>
          <w:rFonts w:ascii="宋体" w:eastAsia="宋体" w:hAnsi="宋体" w:hint="eastAsia"/>
          <w:bCs/>
          <w:sz w:val="24"/>
        </w:rPr>
        <w:t xml:space="preserve"> 投资评审小组负责做好战略委员会决策的前期准备工作，提供公司有关方面的资料:</w:t>
      </w:r>
    </w:p>
    <w:p w14:paraId="42103071" w14:textId="77777777" w:rsidR="007A1412" w:rsidRDefault="00000000">
      <w:pPr>
        <w:spacing w:line="360" w:lineRule="auto"/>
        <w:rPr>
          <w:rFonts w:ascii="宋体" w:eastAsia="宋体" w:hAnsi="宋体"/>
          <w:bCs/>
          <w:sz w:val="24"/>
        </w:rPr>
      </w:pPr>
      <w:r>
        <w:rPr>
          <w:rFonts w:ascii="宋体" w:eastAsia="宋体" w:hAnsi="宋体" w:hint="eastAsia"/>
          <w:bCs/>
          <w:sz w:val="24"/>
        </w:rPr>
        <w:t xml:space="preserve">（一）由公司有关部门或控股（参股）企业的负责人上报重大投资融资、资本运作、资产经营项目的意向、初步可行性报告以及合作方的基本情况等资料; </w:t>
      </w:r>
    </w:p>
    <w:p w14:paraId="7CF994ED" w14:textId="77777777" w:rsidR="007A1412" w:rsidRDefault="00000000">
      <w:pPr>
        <w:spacing w:line="360" w:lineRule="auto"/>
        <w:rPr>
          <w:rFonts w:ascii="宋体" w:eastAsia="宋体" w:hAnsi="宋体"/>
          <w:bCs/>
          <w:sz w:val="24"/>
        </w:rPr>
      </w:pPr>
      <w:r>
        <w:rPr>
          <w:rFonts w:ascii="宋体" w:eastAsia="宋体" w:hAnsi="宋体" w:hint="eastAsia"/>
          <w:bCs/>
          <w:sz w:val="24"/>
        </w:rPr>
        <w:t>（二）由投资评审小组进行初审，签发立项意见书，并报战略委员会备案;</w:t>
      </w:r>
    </w:p>
    <w:p w14:paraId="228943E2" w14:textId="77777777" w:rsidR="007A1412" w:rsidRDefault="00000000">
      <w:pPr>
        <w:spacing w:line="360" w:lineRule="auto"/>
        <w:rPr>
          <w:rFonts w:ascii="宋体" w:eastAsia="宋体" w:hAnsi="宋体"/>
          <w:bCs/>
          <w:sz w:val="24"/>
        </w:rPr>
      </w:pPr>
      <w:r>
        <w:rPr>
          <w:rFonts w:ascii="宋体" w:eastAsia="宋体" w:hAnsi="宋体" w:hint="eastAsia"/>
          <w:bCs/>
          <w:sz w:val="24"/>
        </w:rPr>
        <w:lastRenderedPageBreak/>
        <w:t>（三）公司有关部门或者控股（参股）企业对外进行协议、合同、章程及可行性报告等洽谈并上报投资评审小组；</w:t>
      </w:r>
    </w:p>
    <w:p w14:paraId="392E3C9F" w14:textId="77777777" w:rsidR="007A1412" w:rsidRDefault="00000000">
      <w:pPr>
        <w:spacing w:line="360" w:lineRule="auto"/>
        <w:rPr>
          <w:rFonts w:ascii="宋体" w:eastAsia="宋体" w:hAnsi="宋体"/>
          <w:bCs/>
          <w:sz w:val="24"/>
        </w:rPr>
      </w:pPr>
      <w:r>
        <w:rPr>
          <w:rFonts w:ascii="宋体" w:eastAsia="宋体" w:hAnsi="宋体" w:hint="eastAsia"/>
          <w:bCs/>
          <w:sz w:val="24"/>
        </w:rPr>
        <w:t xml:space="preserve">（四）由投资评审小组进行评审，签发书面意见，并向战略委员会提交正式提案。 </w:t>
      </w:r>
    </w:p>
    <w:p w14:paraId="16C7BCD0" w14:textId="77777777" w:rsidR="007A1412" w:rsidRDefault="00000000">
      <w:pPr>
        <w:spacing w:line="360" w:lineRule="auto"/>
        <w:rPr>
          <w:rFonts w:ascii="宋体" w:eastAsia="宋体" w:hAnsi="宋体"/>
          <w:bCs/>
          <w:sz w:val="24"/>
        </w:rPr>
      </w:pPr>
      <w:r>
        <w:rPr>
          <w:rFonts w:ascii="宋体" w:eastAsia="宋体" w:hAnsi="宋体" w:hint="eastAsia"/>
          <w:b/>
          <w:sz w:val="24"/>
        </w:rPr>
        <w:t>第十一条</w:t>
      </w:r>
      <w:r>
        <w:rPr>
          <w:rFonts w:ascii="宋体" w:eastAsia="宋体" w:hAnsi="宋体" w:hint="eastAsia"/>
          <w:bCs/>
          <w:sz w:val="24"/>
        </w:rPr>
        <w:t xml:space="preserve"> 战略委员会根据投资评审小组的提案召开会议，进行讨论，将讨论结果提交董事会，同时反馈给投资评审小组。 </w:t>
      </w:r>
    </w:p>
    <w:p w14:paraId="336626AB" w14:textId="77777777" w:rsidR="007A1412" w:rsidRDefault="00000000">
      <w:pPr>
        <w:adjustRightInd w:val="0"/>
        <w:spacing w:line="360" w:lineRule="auto"/>
        <w:jc w:val="center"/>
        <w:rPr>
          <w:rFonts w:ascii="黑体" w:eastAsia="黑体" w:hAnsi="黑体" w:cs="新宋体"/>
          <w:b/>
          <w:bCs/>
          <w:kern w:val="0"/>
          <w:sz w:val="32"/>
          <w:szCs w:val="32"/>
        </w:rPr>
      </w:pPr>
      <w:r>
        <w:rPr>
          <w:rFonts w:ascii="黑体" w:eastAsia="黑体" w:hAnsi="黑体" w:cs="新宋体" w:hint="eastAsia"/>
          <w:b/>
          <w:bCs/>
          <w:kern w:val="0"/>
          <w:sz w:val="32"/>
          <w:szCs w:val="32"/>
        </w:rPr>
        <w:t xml:space="preserve">第五章 议事规则 </w:t>
      </w:r>
    </w:p>
    <w:p w14:paraId="6BE1D828" w14:textId="52BEA7B5" w:rsidR="007A1412" w:rsidRDefault="00000000">
      <w:pPr>
        <w:spacing w:line="360" w:lineRule="auto"/>
        <w:rPr>
          <w:rFonts w:ascii="宋体" w:eastAsia="宋体" w:hAnsi="宋体"/>
          <w:bCs/>
          <w:sz w:val="24"/>
        </w:rPr>
      </w:pPr>
      <w:r>
        <w:rPr>
          <w:rFonts w:ascii="宋体" w:eastAsia="宋体" w:hAnsi="宋体" w:hint="eastAsia"/>
          <w:b/>
          <w:sz w:val="24"/>
        </w:rPr>
        <w:t>第十二条</w:t>
      </w:r>
      <w:r>
        <w:rPr>
          <w:rFonts w:ascii="宋体" w:eastAsia="宋体" w:hAnsi="宋体" w:hint="eastAsia"/>
          <w:bCs/>
          <w:sz w:val="24"/>
        </w:rPr>
        <w:t xml:space="preserve"> 战略委员会每年根据需要召开会议，两名或以上委员提议或者主任委员认为有必要时可召开会议，并于会议召开前至少两天通知全体委员，</w:t>
      </w:r>
      <w:r w:rsidR="00991C1E" w:rsidRPr="00FC2A9C">
        <w:rPr>
          <w:rFonts w:ascii="宋体" w:eastAsia="宋体" w:hAnsi="宋体" w:hint="eastAsia"/>
          <w:bCs/>
          <w:sz w:val="24"/>
        </w:rPr>
        <w:t>特殊情形下，</w:t>
      </w:r>
      <w:r w:rsidR="0014499F">
        <w:rPr>
          <w:rFonts w:ascii="宋体" w:eastAsia="宋体" w:hAnsi="宋体" w:hint="eastAsia"/>
          <w:bCs/>
          <w:sz w:val="24"/>
        </w:rPr>
        <w:t>战略</w:t>
      </w:r>
      <w:r w:rsidR="00991C1E">
        <w:rPr>
          <w:rFonts w:ascii="宋体" w:eastAsia="宋体" w:hAnsi="宋体" w:hint="eastAsia"/>
          <w:bCs/>
          <w:sz w:val="24"/>
        </w:rPr>
        <w:t>委员</w:t>
      </w:r>
      <w:r w:rsidR="00991C1E" w:rsidRPr="00FC2A9C">
        <w:rPr>
          <w:rFonts w:ascii="宋体" w:eastAsia="宋体" w:hAnsi="宋体" w:hint="eastAsia"/>
          <w:bCs/>
          <w:sz w:val="24"/>
        </w:rPr>
        <w:t>会可随时召开会议，但必须保证通知及时有效地送达全体</w:t>
      </w:r>
      <w:r w:rsidR="00991C1E">
        <w:rPr>
          <w:rFonts w:ascii="宋体" w:eastAsia="宋体" w:hAnsi="宋体" w:hint="eastAsia"/>
          <w:bCs/>
          <w:sz w:val="24"/>
        </w:rPr>
        <w:t>委员；</w:t>
      </w:r>
      <w:r>
        <w:rPr>
          <w:rFonts w:ascii="宋体" w:eastAsia="宋体" w:hAnsi="宋体" w:hint="eastAsia"/>
          <w:bCs/>
          <w:sz w:val="24"/>
        </w:rPr>
        <w:t xml:space="preserve">会议由主任委员主持，主任委员不能出席时可委托其他一名委员主持。 </w:t>
      </w:r>
    </w:p>
    <w:p w14:paraId="54A5676D" w14:textId="77777777" w:rsidR="007A1412" w:rsidRDefault="00000000">
      <w:pPr>
        <w:spacing w:line="360" w:lineRule="auto"/>
        <w:rPr>
          <w:rFonts w:ascii="宋体" w:eastAsia="宋体" w:hAnsi="宋体"/>
          <w:bCs/>
          <w:sz w:val="24"/>
        </w:rPr>
      </w:pPr>
      <w:r>
        <w:rPr>
          <w:rFonts w:ascii="宋体" w:eastAsia="宋体" w:hAnsi="宋体" w:hint="eastAsia"/>
          <w:b/>
          <w:sz w:val="24"/>
        </w:rPr>
        <w:t>第十三条</w:t>
      </w:r>
      <w:r>
        <w:rPr>
          <w:rFonts w:ascii="宋体" w:eastAsia="宋体" w:hAnsi="宋体" w:hint="eastAsia"/>
          <w:bCs/>
          <w:sz w:val="24"/>
        </w:rPr>
        <w:t xml:space="preserve"> 战略委员会会议应由三分之二以上的委员出席方可举行；每一名委员有一票的表决权；会议作出的决议，必须经全体委员的过半数通过。委员因故不能出席，可以书面委托其他委员代为出席，委托出席的视同出席。 </w:t>
      </w:r>
    </w:p>
    <w:p w14:paraId="0C546EFD" w14:textId="77777777" w:rsidR="007A1412" w:rsidRDefault="00000000">
      <w:pPr>
        <w:spacing w:line="360" w:lineRule="auto"/>
        <w:rPr>
          <w:rFonts w:ascii="宋体" w:eastAsia="宋体" w:hAnsi="宋体"/>
          <w:bCs/>
          <w:sz w:val="24"/>
        </w:rPr>
      </w:pPr>
      <w:r>
        <w:rPr>
          <w:rFonts w:ascii="宋体" w:eastAsia="宋体" w:hAnsi="宋体" w:hint="eastAsia"/>
          <w:b/>
          <w:sz w:val="24"/>
        </w:rPr>
        <w:t>第十四条</w:t>
      </w:r>
      <w:r>
        <w:rPr>
          <w:rFonts w:ascii="宋体" w:eastAsia="宋体" w:hAnsi="宋体" w:hint="eastAsia"/>
          <w:bCs/>
          <w:sz w:val="24"/>
        </w:rPr>
        <w:t xml:space="preserve"> 战略委员会会议表决方式为举手表决或投票表决，可以采取通讯表决的方式召开。</w:t>
      </w:r>
    </w:p>
    <w:p w14:paraId="55ABE334" w14:textId="77777777" w:rsidR="007A1412" w:rsidRDefault="00000000">
      <w:pPr>
        <w:spacing w:line="360" w:lineRule="auto"/>
        <w:rPr>
          <w:rFonts w:ascii="宋体" w:eastAsia="宋体" w:hAnsi="宋体"/>
          <w:bCs/>
          <w:sz w:val="24"/>
        </w:rPr>
      </w:pPr>
      <w:r>
        <w:rPr>
          <w:rFonts w:ascii="宋体" w:eastAsia="宋体" w:hAnsi="宋体" w:hint="eastAsia"/>
          <w:b/>
          <w:sz w:val="24"/>
        </w:rPr>
        <w:t>第十五条</w:t>
      </w:r>
      <w:r>
        <w:rPr>
          <w:rFonts w:ascii="宋体" w:eastAsia="宋体" w:hAnsi="宋体" w:hint="eastAsia"/>
          <w:bCs/>
          <w:sz w:val="24"/>
        </w:rPr>
        <w:t xml:space="preserve"> 根据会议议程和需要，战略委员会可以召集与会议议题有关的其他人员到会介绍有关情况或听取有关意见，有关人员不得无故缺席。</w:t>
      </w:r>
    </w:p>
    <w:p w14:paraId="5CDB6E41" w14:textId="77777777" w:rsidR="007A1412" w:rsidRDefault="00000000">
      <w:pPr>
        <w:spacing w:line="360" w:lineRule="auto"/>
        <w:rPr>
          <w:rFonts w:ascii="宋体" w:eastAsia="宋体" w:hAnsi="宋体"/>
          <w:bCs/>
          <w:sz w:val="24"/>
        </w:rPr>
      </w:pPr>
      <w:r>
        <w:rPr>
          <w:rFonts w:ascii="宋体" w:eastAsia="宋体" w:hAnsi="宋体" w:hint="eastAsia"/>
          <w:b/>
          <w:sz w:val="24"/>
        </w:rPr>
        <w:t>第十六条</w:t>
      </w:r>
      <w:r>
        <w:rPr>
          <w:rFonts w:ascii="宋体" w:eastAsia="宋体" w:hAnsi="宋体" w:hint="eastAsia"/>
          <w:bCs/>
          <w:sz w:val="24"/>
        </w:rPr>
        <w:t xml:space="preserve"> 如有必要，战略委员会可以聘请中介机构为其决策提供专业意见，费用由公司支付。</w:t>
      </w:r>
      <w:r>
        <w:rPr>
          <w:rFonts w:ascii="宋体" w:eastAsia="宋体" w:hAnsi="宋体" w:hint="eastAsia"/>
          <w:bCs/>
          <w:sz w:val="24"/>
        </w:rPr>
        <w:br/>
      </w:r>
      <w:r>
        <w:rPr>
          <w:rFonts w:ascii="宋体" w:eastAsia="宋体" w:hAnsi="宋体" w:hint="eastAsia"/>
          <w:b/>
          <w:sz w:val="24"/>
        </w:rPr>
        <w:t>第十七条</w:t>
      </w:r>
      <w:r>
        <w:rPr>
          <w:rFonts w:ascii="宋体" w:eastAsia="宋体" w:hAnsi="宋体" w:hint="eastAsia"/>
          <w:bCs/>
          <w:sz w:val="24"/>
        </w:rPr>
        <w:t xml:space="preserve"> 战略委员会会议的召开程序、表决方式和会议通过的议案必须遵循有关法律、法规、公司章程及本办法的规定。 </w:t>
      </w:r>
    </w:p>
    <w:p w14:paraId="3B8D19D3" w14:textId="77777777" w:rsidR="007A1412" w:rsidRDefault="00000000">
      <w:pPr>
        <w:spacing w:line="360" w:lineRule="auto"/>
        <w:rPr>
          <w:rFonts w:ascii="宋体" w:eastAsia="宋体" w:hAnsi="宋体"/>
          <w:bCs/>
          <w:sz w:val="24"/>
        </w:rPr>
      </w:pPr>
      <w:r>
        <w:rPr>
          <w:rFonts w:ascii="宋体" w:eastAsia="宋体" w:hAnsi="宋体" w:hint="eastAsia"/>
          <w:b/>
          <w:sz w:val="24"/>
        </w:rPr>
        <w:t>第十八条</w:t>
      </w:r>
      <w:r>
        <w:rPr>
          <w:rFonts w:ascii="宋体" w:eastAsia="宋体" w:hAnsi="宋体" w:hint="eastAsia"/>
          <w:bCs/>
          <w:sz w:val="24"/>
        </w:rPr>
        <w:t xml:space="preserve"> 战略委员会会议应当有记录，出席会议的委员应当在会议记录上签名；会议记录由公司董事会秘书保存。 </w:t>
      </w:r>
    </w:p>
    <w:p w14:paraId="56EE49B2" w14:textId="77777777" w:rsidR="007A1412" w:rsidRDefault="00000000">
      <w:pPr>
        <w:spacing w:line="360" w:lineRule="auto"/>
        <w:rPr>
          <w:rFonts w:ascii="宋体" w:eastAsia="宋体" w:hAnsi="宋体"/>
          <w:bCs/>
          <w:sz w:val="24"/>
        </w:rPr>
      </w:pPr>
      <w:r>
        <w:rPr>
          <w:rFonts w:ascii="宋体" w:eastAsia="宋体" w:hAnsi="宋体" w:hint="eastAsia"/>
          <w:b/>
          <w:sz w:val="24"/>
        </w:rPr>
        <w:t>第十九条</w:t>
      </w:r>
      <w:r>
        <w:rPr>
          <w:rFonts w:ascii="宋体" w:eastAsia="宋体" w:hAnsi="宋体" w:hint="eastAsia"/>
          <w:bCs/>
          <w:sz w:val="24"/>
        </w:rPr>
        <w:t xml:space="preserve"> 战略委员会会议通过的议案及表决结果，应以书面形式报公司董事会。 </w:t>
      </w:r>
    </w:p>
    <w:p w14:paraId="40A1A45C" w14:textId="77777777" w:rsidR="007A1412" w:rsidRDefault="00000000">
      <w:pPr>
        <w:spacing w:line="360" w:lineRule="auto"/>
        <w:rPr>
          <w:rFonts w:ascii="宋体" w:eastAsia="宋体" w:hAnsi="宋体"/>
          <w:bCs/>
          <w:sz w:val="24"/>
        </w:rPr>
      </w:pPr>
      <w:r>
        <w:rPr>
          <w:rFonts w:ascii="宋体" w:eastAsia="宋体" w:hAnsi="宋体" w:hint="eastAsia"/>
          <w:b/>
          <w:sz w:val="24"/>
        </w:rPr>
        <w:t>第二十条</w:t>
      </w:r>
      <w:r>
        <w:rPr>
          <w:rFonts w:ascii="宋体" w:eastAsia="宋体" w:hAnsi="宋体" w:hint="eastAsia"/>
          <w:bCs/>
          <w:sz w:val="24"/>
        </w:rPr>
        <w:t xml:space="preserve"> 出席会议的委员均对会议所议事项有保密义务，不得擅自披露有关信息。 </w:t>
      </w:r>
    </w:p>
    <w:p w14:paraId="1F522115" w14:textId="77777777" w:rsidR="007A1412" w:rsidRDefault="00000000">
      <w:pPr>
        <w:adjustRightInd w:val="0"/>
        <w:spacing w:line="360" w:lineRule="auto"/>
        <w:jc w:val="center"/>
        <w:rPr>
          <w:rFonts w:ascii="黑体" w:eastAsia="黑体" w:hAnsi="黑体" w:cs="新宋体"/>
          <w:b/>
          <w:bCs/>
          <w:kern w:val="0"/>
          <w:sz w:val="32"/>
          <w:szCs w:val="32"/>
        </w:rPr>
      </w:pPr>
      <w:r>
        <w:rPr>
          <w:rFonts w:ascii="黑体" w:eastAsia="黑体" w:hAnsi="黑体" w:cs="新宋体" w:hint="eastAsia"/>
          <w:b/>
          <w:bCs/>
          <w:kern w:val="0"/>
          <w:sz w:val="32"/>
          <w:szCs w:val="32"/>
        </w:rPr>
        <w:t xml:space="preserve">第六章 附则 </w:t>
      </w:r>
    </w:p>
    <w:p w14:paraId="7F04BC98" w14:textId="051A0E45" w:rsidR="007A1412" w:rsidRDefault="00000000">
      <w:pPr>
        <w:spacing w:line="360" w:lineRule="auto"/>
        <w:rPr>
          <w:rFonts w:ascii="宋体" w:eastAsia="宋体" w:hAnsi="宋体"/>
          <w:bCs/>
          <w:sz w:val="24"/>
        </w:rPr>
      </w:pPr>
      <w:r>
        <w:rPr>
          <w:rFonts w:ascii="宋体" w:eastAsia="宋体" w:hAnsi="宋体" w:hint="eastAsia"/>
          <w:b/>
          <w:sz w:val="24"/>
        </w:rPr>
        <w:t>第二十条</w:t>
      </w:r>
      <w:r>
        <w:rPr>
          <w:rFonts w:ascii="宋体" w:eastAsia="宋体" w:hAnsi="宋体" w:hint="eastAsia"/>
          <w:bCs/>
          <w:sz w:val="24"/>
        </w:rPr>
        <w:t xml:space="preserve"> 本实施细则</w:t>
      </w:r>
      <w:r w:rsidR="00881316">
        <w:rPr>
          <w:rFonts w:ascii="宋体" w:eastAsia="宋体" w:hAnsi="宋体" w:hint="eastAsia"/>
          <w:bCs/>
          <w:sz w:val="24"/>
        </w:rPr>
        <w:t>经</w:t>
      </w:r>
      <w:r>
        <w:rPr>
          <w:rFonts w:ascii="宋体" w:eastAsia="宋体" w:hAnsi="宋体" w:hint="eastAsia"/>
          <w:bCs/>
          <w:sz w:val="24"/>
        </w:rPr>
        <w:t>董事会</w:t>
      </w:r>
      <w:r w:rsidR="00881316">
        <w:rPr>
          <w:rFonts w:ascii="宋体" w:eastAsia="宋体" w:hAnsi="宋体" w:hint="eastAsia"/>
          <w:bCs/>
          <w:sz w:val="24"/>
        </w:rPr>
        <w:t>审议批准</w:t>
      </w:r>
      <w:r>
        <w:rPr>
          <w:rFonts w:ascii="宋体" w:eastAsia="宋体" w:hAnsi="宋体" w:hint="eastAsia"/>
          <w:bCs/>
          <w:sz w:val="24"/>
        </w:rPr>
        <w:t xml:space="preserve">。 </w:t>
      </w:r>
    </w:p>
    <w:p w14:paraId="769667D1" w14:textId="77777777" w:rsidR="007A1412" w:rsidRDefault="00000000">
      <w:pPr>
        <w:spacing w:line="360" w:lineRule="auto"/>
        <w:rPr>
          <w:rFonts w:ascii="宋体" w:eastAsia="宋体" w:hAnsi="宋体"/>
          <w:bCs/>
          <w:sz w:val="24"/>
        </w:rPr>
      </w:pPr>
      <w:r>
        <w:rPr>
          <w:rFonts w:ascii="宋体" w:eastAsia="宋体" w:hAnsi="宋体" w:hint="eastAsia"/>
          <w:b/>
          <w:sz w:val="24"/>
        </w:rPr>
        <w:lastRenderedPageBreak/>
        <w:t>第二十一条</w:t>
      </w:r>
      <w:r>
        <w:rPr>
          <w:rFonts w:ascii="宋体" w:eastAsia="宋体" w:hAnsi="宋体" w:hint="eastAsia"/>
          <w:bCs/>
          <w:sz w:val="24"/>
        </w:rPr>
        <w:t xml:space="preserve"> 本实施细则未尽事宜，按国家有关法律、法规和《公司章程》的规定执行；本实施细则如与国家日后颁布的法律、法规或经合法程序修改后的《公司章程》相抵触时，按国家有关法律、法规和公司章程的规定执行，并及时修订，报董事会审议通过。 </w:t>
      </w:r>
    </w:p>
    <w:p w14:paraId="0F6284F0" w14:textId="77777777" w:rsidR="007A1412" w:rsidRDefault="00000000">
      <w:pPr>
        <w:spacing w:line="360" w:lineRule="auto"/>
        <w:rPr>
          <w:rFonts w:ascii="宋体" w:eastAsia="宋体" w:hAnsi="宋体"/>
          <w:bCs/>
          <w:sz w:val="24"/>
        </w:rPr>
      </w:pPr>
      <w:r>
        <w:rPr>
          <w:rFonts w:ascii="宋体" w:eastAsia="宋体" w:hAnsi="宋体" w:hint="eastAsia"/>
          <w:b/>
          <w:sz w:val="24"/>
        </w:rPr>
        <w:t>第二十二条</w:t>
      </w:r>
      <w:r>
        <w:rPr>
          <w:rFonts w:ascii="宋体" w:eastAsia="宋体" w:hAnsi="宋体" w:hint="eastAsia"/>
          <w:bCs/>
          <w:sz w:val="24"/>
        </w:rPr>
        <w:t xml:space="preserve"> 本实施细则解释权归属公司董事会。 </w:t>
      </w:r>
    </w:p>
    <w:p w14:paraId="61E4A930" w14:textId="77777777" w:rsidR="007A1412" w:rsidRDefault="007A1412">
      <w:pPr>
        <w:spacing w:line="360" w:lineRule="auto"/>
        <w:rPr>
          <w:rFonts w:ascii="宋体" w:eastAsia="宋体" w:hAnsi="宋体"/>
          <w:bCs/>
          <w:sz w:val="24"/>
        </w:rPr>
      </w:pPr>
    </w:p>
    <w:p w14:paraId="591C06A2" w14:textId="77777777" w:rsidR="007A1412" w:rsidRDefault="007A1412">
      <w:pPr>
        <w:spacing w:line="360" w:lineRule="auto"/>
        <w:rPr>
          <w:rFonts w:ascii="宋体" w:eastAsia="宋体" w:hAnsi="宋体"/>
          <w:bCs/>
          <w:sz w:val="24"/>
        </w:rPr>
      </w:pPr>
    </w:p>
    <w:p w14:paraId="61C0B18E" w14:textId="77777777" w:rsidR="007A1412" w:rsidRDefault="00000000">
      <w:pPr>
        <w:spacing w:line="360" w:lineRule="auto"/>
        <w:jc w:val="right"/>
        <w:rPr>
          <w:rFonts w:ascii="宋体" w:eastAsia="宋体" w:hAnsi="宋体"/>
          <w:sz w:val="24"/>
        </w:rPr>
      </w:pPr>
      <w:r>
        <w:rPr>
          <w:rFonts w:ascii="宋体" w:eastAsia="宋体" w:hAnsi="宋体" w:hint="eastAsia"/>
          <w:sz w:val="24"/>
        </w:rPr>
        <w:t xml:space="preserve">江苏恒瑞医药股份有限公司董事会 </w:t>
      </w:r>
    </w:p>
    <w:p w14:paraId="207C8837" w14:textId="1242F8B2" w:rsidR="007A1412" w:rsidRDefault="00000000">
      <w:pPr>
        <w:spacing w:line="360" w:lineRule="auto"/>
        <w:jc w:val="right"/>
        <w:rPr>
          <w:rFonts w:ascii="宋体" w:eastAsia="宋体" w:hAnsi="宋体"/>
          <w:sz w:val="24"/>
        </w:rPr>
      </w:pPr>
      <w:r>
        <w:rPr>
          <w:rFonts w:ascii="宋体" w:eastAsia="宋体" w:hAnsi="宋体" w:hint="eastAsia"/>
          <w:sz w:val="24"/>
        </w:rPr>
        <w:t>2024年</w:t>
      </w:r>
      <w:r w:rsidR="001213AF">
        <w:rPr>
          <w:rFonts w:ascii="宋体" w:eastAsia="宋体" w:hAnsi="宋体" w:hint="eastAsia"/>
          <w:sz w:val="24"/>
        </w:rPr>
        <w:t>12</w:t>
      </w:r>
      <w:r>
        <w:rPr>
          <w:rFonts w:ascii="宋体" w:eastAsia="宋体" w:hAnsi="宋体" w:hint="eastAsia"/>
          <w:sz w:val="24"/>
        </w:rPr>
        <w:t>月</w:t>
      </w:r>
    </w:p>
    <w:p w14:paraId="2DA81311" w14:textId="77777777" w:rsidR="007A1412" w:rsidRDefault="007A1412">
      <w:pPr>
        <w:spacing w:line="360" w:lineRule="auto"/>
        <w:rPr>
          <w:rFonts w:ascii="宋体" w:eastAsia="宋体" w:hAnsi="宋体"/>
          <w:bCs/>
          <w:sz w:val="24"/>
        </w:rPr>
      </w:pPr>
    </w:p>
    <w:sectPr w:rsidR="007A1412">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altName w:val="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IwZDZmMGU5MTFmNTUwZDNmYjM5YzVjOGU5M2ZlNzEifQ=="/>
  </w:docVars>
  <w:rsids>
    <w:rsidRoot w:val="FFFFE4A3"/>
    <w:rsid w:val="AE7F1721"/>
    <w:rsid w:val="FFFFE4A3"/>
    <w:rsid w:val="001213AF"/>
    <w:rsid w:val="0014499F"/>
    <w:rsid w:val="00500909"/>
    <w:rsid w:val="00712A9D"/>
    <w:rsid w:val="007A1412"/>
    <w:rsid w:val="00881316"/>
    <w:rsid w:val="009567B0"/>
    <w:rsid w:val="00991C1E"/>
    <w:rsid w:val="00BD1C90"/>
    <w:rsid w:val="00F93ACE"/>
    <w:rsid w:val="00FB0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488762"/>
  <w15:docId w15:val="{C4D20AAF-A11E-EB4A-BAC8-D77317B4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Revision"/>
    <w:hidden/>
    <w:uiPriority w:val="99"/>
    <w:unhideWhenUsed/>
    <w:rsid w:val="0088131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C&amp;F</dc:creator>
  <cp:lastModifiedBy>C&amp;F</cp:lastModifiedBy>
  <cp:revision>7</cp:revision>
  <dcterms:created xsi:type="dcterms:W3CDTF">2024-11-07T17:09:00Z</dcterms:created>
  <dcterms:modified xsi:type="dcterms:W3CDTF">2024-12-03T08:17:00Z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2052-6.12.0.8899</vt:lpwstr>
  </property>
  <property fmtid="{D5CDD505-2E9C-101B-9397-08002B2CF9AE}" pid="3" name="ICV">
    <vt:lpwstr>17E939B929E1FFFB5F762C673C41AA9A_41</vt:lpwstr>
  </property>
</Properties>
</file>